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A8" w:rsidRDefault="00F642A8" w:rsidP="00F642A8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F642A8" w:rsidRDefault="00F642A8" w:rsidP="00F642A8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F642A8" w:rsidRPr="00D93A18" w:rsidRDefault="00F642A8" w:rsidP="00F642A8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F642A8" w:rsidRDefault="00F642A8" w:rsidP="00F642A8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F642A8" w:rsidRPr="00907B88" w:rsidTr="00094752">
        <w:tc>
          <w:tcPr>
            <w:tcW w:w="1555" w:type="pct"/>
          </w:tcPr>
          <w:p w:rsidR="00F642A8" w:rsidRPr="00907B88" w:rsidRDefault="00F642A8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F642A8" w:rsidRPr="00907B88" w:rsidRDefault="00F642A8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F642A8" w:rsidRPr="00907B88" w:rsidRDefault="00F642A8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</w:p>
          <w:p w:rsidR="00F642A8" w:rsidRPr="00907B88" w:rsidRDefault="00F642A8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F642A8" w:rsidRPr="00907B88" w:rsidRDefault="00F642A8" w:rsidP="00094752">
            <w:pPr>
              <w:tabs>
                <w:tab w:val="left" w:pos="9288"/>
              </w:tabs>
              <w:jc w:val="center"/>
            </w:pPr>
          </w:p>
        </w:tc>
      </w:tr>
    </w:tbl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Pr="005A1772" w:rsidRDefault="00F642A8" w:rsidP="00F642A8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F642A8" w:rsidRPr="005A1772" w:rsidRDefault="00F642A8" w:rsidP="00F642A8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Алгебра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F642A8" w:rsidRPr="005A1772" w:rsidRDefault="00F642A8" w:rsidP="00F642A8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9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F642A8" w:rsidRPr="005A1772" w:rsidRDefault="00F642A8" w:rsidP="00F642A8">
      <w:pPr>
        <w:ind w:left="2832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F642A8" w:rsidRDefault="00F642A8" w:rsidP="00F642A8">
      <w:pPr>
        <w:jc w:val="center"/>
        <w:rPr>
          <w:b/>
          <w:bCs/>
          <w:sz w:val="40"/>
        </w:rPr>
      </w:pPr>
    </w:p>
    <w:p w:rsidR="00F642A8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F642A8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F642A8" w:rsidRPr="005A1772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F642A8" w:rsidRPr="005A1772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F642A8" w:rsidRPr="005A1772" w:rsidRDefault="00F642A8" w:rsidP="00F642A8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/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Default="00F642A8" w:rsidP="00F642A8">
      <w:pPr>
        <w:jc w:val="center"/>
      </w:pPr>
    </w:p>
    <w:p w:rsidR="00F642A8" w:rsidRPr="00595ABD" w:rsidRDefault="00F642A8" w:rsidP="00595ABD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F642A8" w:rsidRDefault="00F642A8" w:rsidP="00F642A8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642A8" w:rsidRPr="00113B17" w:rsidRDefault="00F642A8" w:rsidP="00F642A8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F642A8" w:rsidRDefault="00F642A8" w:rsidP="00F642A8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9 классов и реализуется на основе следующих документов:</w:t>
      </w:r>
    </w:p>
    <w:p w:rsidR="00F642A8" w:rsidRDefault="00F642A8" w:rsidP="00F642A8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учреждений: «Алгебра 7-9 классы»</w:t>
      </w:r>
    </w:p>
    <w:p w:rsidR="00F642A8" w:rsidRPr="006E4AD5" w:rsidRDefault="00F642A8" w:rsidP="00F642A8">
      <w:pPr>
        <w:ind w:left="720"/>
      </w:pPr>
      <w:r w:rsidRPr="006E4AD5">
        <w:t>Сост.</w:t>
      </w:r>
      <w:r>
        <w:t>Т.А.Бурмистрова. – 2-е изд.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F642A8" w:rsidRDefault="00F642A8" w:rsidP="00F642A8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F642A8" w:rsidRPr="006E4AD5" w:rsidRDefault="00F642A8" w:rsidP="00F642A8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F642A8" w:rsidRDefault="00F642A8" w:rsidP="00F642A8">
      <w:pPr>
        <w:rPr>
          <w:i/>
        </w:rPr>
      </w:pPr>
      <w:r w:rsidRPr="00AB061C">
        <w:rPr>
          <w:i/>
        </w:rPr>
        <w:t>Программа соответствует учебнику Макарычев Ю.Н., Миндюк Н.Г., Нешков К.И., Суворова С.Б. «А</w:t>
      </w:r>
      <w:r w:rsidR="0016022F">
        <w:rPr>
          <w:i/>
        </w:rPr>
        <w:t>лгебра: учебник для 9</w:t>
      </w:r>
      <w:r>
        <w:rPr>
          <w:i/>
        </w:rPr>
        <w:t xml:space="preserve"> </w:t>
      </w:r>
      <w:r w:rsidRPr="00AB061C">
        <w:rPr>
          <w:i/>
        </w:rPr>
        <w:t xml:space="preserve"> кл. общеобразоват. учреждений» - М.: Просвещение, 2008.  Преподавание ведётся по следующей схеме: 3 ч в неделю</w:t>
      </w:r>
      <w:r>
        <w:rPr>
          <w:i/>
        </w:rPr>
        <w:t>, всего 1</w:t>
      </w:r>
      <w:r w:rsidRPr="00AB061C">
        <w:rPr>
          <w:i/>
        </w:rPr>
        <w:t>0</w:t>
      </w:r>
      <w:r>
        <w:rPr>
          <w:i/>
        </w:rPr>
        <w:t>2 часа</w:t>
      </w:r>
      <w:r w:rsidR="0016022F">
        <w:rPr>
          <w:i/>
        </w:rPr>
        <w:t>. Из них запланировано 11</w:t>
      </w:r>
      <w:r w:rsidRPr="00AB061C">
        <w:rPr>
          <w:i/>
        </w:rPr>
        <w:t xml:space="preserve"> контрольных работ.</w:t>
      </w:r>
    </w:p>
    <w:p w:rsidR="00F642A8" w:rsidRPr="00AB061C" w:rsidRDefault="00F642A8" w:rsidP="00F642A8">
      <w:pPr>
        <w:rPr>
          <w:i/>
        </w:rPr>
      </w:pPr>
      <w:r>
        <w:rPr>
          <w:i/>
        </w:rPr>
        <w:t>.</w:t>
      </w:r>
      <w:r w:rsidRPr="00601FBC">
        <w:rPr>
          <w:i/>
        </w:rPr>
        <w:t>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F642A8" w:rsidRPr="00AB061C" w:rsidRDefault="00F642A8" w:rsidP="00F642A8"/>
    <w:p w:rsidR="00F642A8" w:rsidRPr="005F3092" w:rsidRDefault="00F642A8" w:rsidP="00F642A8">
      <w:pPr>
        <w:widowControl w:val="0"/>
        <w:ind w:firstLine="720"/>
        <w:jc w:val="both"/>
        <w:rPr>
          <w:b/>
          <w:i/>
          <w:sz w:val="22"/>
        </w:rPr>
      </w:pPr>
      <w:r w:rsidRPr="005F3092">
        <w:rPr>
          <w:b/>
          <w:i/>
          <w:sz w:val="22"/>
        </w:rPr>
        <w:t xml:space="preserve">В ходе освоения содержания курса учащиеся получают возможность: 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F642A8" w:rsidRDefault="00F642A8" w:rsidP="00F642A8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F642A8" w:rsidRPr="00720EA1" w:rsidRDefault="00F642A8" w:rsidP="00F642A8">
      <w:pPr>
        <w:jc w:val="both"/>
        <w:rPr>
          <w:b/>
          <w:i/>
        </w:rPr>
      </w:pPr>
      <w:r w:rsidRPr="00720EA1">
        <w:rPr>
          <w:b/>
          <w:i/>
          <w:color w:val="000000"/>
        </w:rPr>
        <w:t>   </w:t>
      </w:r>
      <w:r w:rsidRPr="00720EA1">
        <w:rPr>
          <w:b/>
          <w:i/>
        </w:rPr>
        <w:t>Изучение математики на ступени основного общего образования направлено на достижение следующих целей:</w:t>
      </w:r>
    </w:p>
    <w:p w:rsidR="00F642A8" w:rsidRPr="00855F19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овладение</w:t>
      </w:r>
      <w:r w:rsidRPr="00855F19">
        <w:rPr>
          <w:bCs/>
          <w:sz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642A8" w:rsidRPr="00855F19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 xml:space="preserve">интеллектуальное развитие, </w:t>
      </w:r>
      <w:r w:rsidRPr="00855F19">
        <w:rPr>
          <w:bCs/>
          <w:sz w:val="22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642A8" w:rsidRPr="00855F19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формирование представлений</w:t>
      </w:r>
      <w:r w:rsidRPr="00855F19">
        <w:rPr>
          <w:bCs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642A8" w:rsidRPr="00C76307" w:rsidRDefault="00F642A8" w:rsidP="00F642A8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воспитание</w:t>
      </w:r>
      <w:r w:rsidRPr="00855F19">
        <w:rPr>
          <w:bCs/>
          <w:sz w:val="22"/>
        </w:rPr>
        <w:t xml:space="preserve"> культуры личности, отношения к математике как к части общечеловеческой культуры, </w:t>
      </w:r>
      <w:r>
        <w:rPr>
          <w:bCs/>
          <w:sz w:val="22"/>
        </w:rPr>
        <w:t>понимание значимости математики для научно-технического прогресса.</w:t>
      </w:r>
    </w:p>
    <w:p w:rsidR="00F642A8" w:rsidRDefault="00F642A8" w:rsidP="00F642A8">
      <w:pPr>
        <w:jc w:val="both"/>
        <w:rPr>
          <w:color w:val="000000"/>
        </w:rPr>
      </w:pPr>
      <w:r>
        <w:rPr>
          <w:b/>
          <w:bCs/>
          <w:color w:val="000000"/>
          <w:sz w:val="32"/>
          <w:szCs w:val="32"/>
        </w:rPr>
        <w:br w:type="page"/>
      </w:r>
      <w:r>
        <w:rPr>
          <w:b/>
          <w:bCs/>
          <w:color w:val="000000"/>
          <w:sz w:val="32"/>
          <w:szCs w:val="32"/>
        </w:rPr>
        <w:lastRenderedPageBreak/>
        <w:t>Основные развивающие и воспитательные цели</w:t>
      </w:r>
    </w:p>
    <w:p w:rsidR="00F642A8" w:rsidRDefault="00F642A8" w:rsidP="00F642A8">
      <w:pPr>
        <w:jc w:val="both"/>
        <w:rPr>
          <w:color w:val="000000"/>
        </w:rPr>
      </w:pPr>
      <w:r>
        <w:rPr>
          <w:b/>
          <w:bCs/>
          <w:color w:val="000000"/>
        </w:rPr>
        <w:t> Развитие: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Математической речи;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Сенсорной сферы; двигательной моторики;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Внимания; памяти;</w:t>
      </w:r>
    </w:p>
    <w:p w:rsidR="00F642A8" w:rsidRDefault="00F642A8" w:rsidP="00F642A8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Навыков само и взаимопроверки.</w:t>
      </w:r>
    </w:p>
    <w:p w:rsidR="00F642A8" w:rsidRDefault="00F642A8" w:rsidP="00F642A8">
      <w:pPr>
        <w:rPr>
          <w:color w:val="000000"/>
        </w:rPr>
      </w:pPr>
      <w:r>
        <w:rPr>
          <w:b/>
          <w:bCs/>
          <w:color w:val="000000"/>
        </w:rPr>
        <w:t xml:space="preserve">Формирование </w:t>
      </w:r>
      <w:r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F642A8" w:rsidRPr="005F3092" w:rsidRDefault="00F642A8" w:rsidP="00F642A8">
      <w:pPr>
        <w:rPr>
          <w:b/>
          <w:color w:val="000000"/>
        </w:rPr>
      </w:pPr>
      <w:r>
        <w:rPr>
          <w:color w:val="000000"/>
        </w:rPr>
        <w:t> </w:t>
      </w:r>
      <w:r w:rsidRPr="005F3092">
        <w:rPr>
          <w:b/>
          <w:color w:val="000000"/>
        </w:rPr>
        <w:t>Воспитание: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Волевых качеств;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Коммуникабельности;</w:t>
      </w:r>
    </w:p>
    <w:p w:rsidR="00F642A8" w:rsidRDefault="00F642A8" w:rsidP="00F642A8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Ответственности.</w:t>
      </w:r>
    </w:p>
    <w:p w:rsidR="00F642A8" w:rsidRDefault="00F642A8" w:rsidP="00F642A8">
      <w:pPr>
        <w:widowControl w:val="0"/>
        <w:jc w:val="both"/>
        <w:rPr>
          <w:color w:val="000000"/>
          <w:sz w:val="22"/>
        </w:rPr>
      </w:pPr>
    </w:p>
    <w:p w:rsidR="00F642A8" w:rsidRDefault="00F642A8" w:rsidP="00F642A8">
      <w:pPr>
        <w:widowControl w:val="0"/>
        <w:spacing w:before="120"/>
        <w:ind w:firstLine="720"/>
        <w:jc w:val="both"/>
        <w:rPr>
          <w:b/>
          <w:sz w:val="22"/>
        </w:rPr>
      </w:pPr>
      <w:r>
        <w:rPr>
          <w:b/>
          <w:sz w:val="22"/>
        </w:rPr>
        <w:t>Общеучебные умения, навыки и способы деятельности.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>
        <w:rPr>
          <w:i/>
          <w:sz w:val="22"/>
        </w:rPr>
        <w:t>умениями общеучебного характера</w:t>
      </w:r>
      <w:r>
        <w:rPr>
          <w:sz w:val="22"/>
        </w:rPr>
        <w:t xml:space="preserve">, разнообразными </w:t>
      </w:r>
      <w:r>
        <w:rPr>
          <w:i/>
          <w:sz w:val="22"/>
        </w:rPr>
        <w:t>способами деятельности</w:t>
      </w:r>
      <w:r>
        <w:rPr>
          <w:sz w:val="22"/>
        </w:rPr>
        <w:t>, приобретали опыт: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проведения доказательных рассуждений, аргументации, выдвижения гипотез и их обоснования;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F642A8" w:rsidRDefault="00F642A8" w:rsidP="00F642A8">
      <w:pPr>
        <w:widowControl w:val="0"/>
        <w:spacing w:before="120"/>
        <w:ind w:firstLine="720"/>
        <w:jc w:val="both"/>
        <w:rPr>
          <w:sz w:val="22"/>
        </w:rPr>
      </w:pPr>
      <w:r>
        <w:rPr>
          <w:b/>
          <w:sz w:val="22"/>
        </w:rPr>
        <w:t>Результаты обучения</w:t>
      </w:r>
    </w:p>
    <w:p w:rsidR="00F642A8" w:rsidRDefault="00F642A8" w:rsidP="00F642A8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>
        <w:rPr>
          <w:color w:val="000000"/>
          <w:sz w:val="22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>
        <w:rPr>
          <w:sz w:val="22"/>
        </w:rPr>
        <w:t>представлены отдельно по каждому из разделов содержания.</w:t>
      </w:r>
    </w:p>
    <w:p w:rsidR="00F642A8" w:rsidRDefault="00F642A8" w:rsidP="00F642A8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F642A8" w:rsidRDefault="00F642A8" w:rsidP="00F642A8">
      <w:pPr>
        <w:ind w:firstLine="567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В результате изучения математики ученик должен</w:t>
      </w:r>
    </w:p>
    <w:p w:rsidR="00F642A8" w:rsidRDefault="00F642A8" w:rsidP="00F642A8">
      <w:pPr>
        <w:ind w:firstLine="567"/>
        <w:jc w:val="both"/>
        <w:rPr>
          <w:b/>
          <w:sz w:val="22"/>
        </w:rPr>
      </w:pPr>
      <w:r>
        <w:rPr>
          <w:b/>
          <w:sz w:val="22"/>
        </w:rPr>
        <w:lastRenderedPageBreak/>
        <w:t>знать/понимать</w:t>
      </w:r>
      <w:r>
        <w:rPr>
          <w:rStyle w:val="a3"/>
          <w:b/>
          <w:sz w:val="22"/>
        </w:rPr>
        <w:footnoteReference w:id="2"/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математического доказательства; примеры доказательств;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алгоритма; примеры алгоритмов;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потребности практики привели математическую науку к необходимости расширения понятия числа;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sz w:val="22"/>
        </w:rPr>
        <w:t>зации;</w:t>
      </w:r>
    </w:p>
    <w:p w:rsidR="00F642A8" w:rsidRPr="00EE1CFD" w:rsidRDefault="00F642A8" w:rsidP="00F642A8">
      <w:pPr>
        <w:pStyle w:val="a6"/>
        <w:widowControl w:val="0"/>
        <w:ind w:left="567"/>
        <w:rPr>
          <w:rFonts w:ascii="Times New Roman" w:hAnsi="Times New Roman"/>
          <w:b/>
          <w:caps/>
          <w:sz w:val="22"/>
          <w:szCs w:val="22"/>
        </w:rPr>
      </w:pPr>
      <w:r w:rsidRPr="00EE1CFD">
        <w:rPr>
          <w:rFonts w:ascii="Times New Roman" w:hAnsi="Times New Roman"/>
          <w:b/>
          <w:caps/>
          <w:sz w:val="22"/>
          <w:szCs w:val="22"/>
        </w:rPr>
        <w:t>Алгебра</w:t>
      </w:r>
    </w:p>
    <w:p w:rsidR="00F642A8" w:rsidRDefault="00F642A8" w:rsidP="00F642A8">
      <w:pPr>
        <w:ind w:firstLine="567"/>
        <w:jc w:val="both"/>
        <w:rPr>
          <w:sz w:val="22"/>
        </w:rPr>
      </w:pPr>
      <w:r>
        <w:rPr>
          <w:b/>
          <w:bCs/>
          <w:sz w:val="22"/>
        </w:rPr>
        <w:t>Уметь: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 и квадратные неравенства с одной перемен</w:t>
      </w:r>
      <w:r>
        <w:rPr>
          <w:sz w:val="22"/>
        </w:rPr>
        <w:t>ной и их системы;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изображать числа точками на координатной прямой;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описывать свойства изучен</w:t>
      </w:r>
      <w:r>
        <w:rPr>
          <w:sz w:val="22"/>
        </w:rPr>
        <w:t>ных функций, строить их графики;</w:t>
      </w:r>
    </w:p>
    <w:p w:rsidR="00F642A8" w:rsidRPr="002B51DE" w:rsidRDefault="00F642A8" w:rsidP="00F642A8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2B51DE">
        <w:rPr>
          <w:bCs/>
          <w:sz w:val="22"/>
        </w:rPr>
        <w:t>для: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F642A8" w:rsidRPr="00005C82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F642A8" w:rsidRPr="00EE1CFD" w:rsidRDefault="00F642A8" w:rsidP="00F642A8">
      <w:pPr>
        <w:numPr>
          <w:ilvl w:val="0"/>
          <w:numId w:val="2"/>
        </w:numPr>
        <w:jc w:val="both"/>
        <w:rPr>
          <w:sz w:val="22"/>
        </w:rPr>
      </w:pPr>
      <w:r w:rsidRPr="00EE1CFD">
        <w:rPr>
          <w:sz w:val="22"/>
        </w:rPr>
        <w:t>интерпретации графиков реальных зависимостей между величинами;</w:t>
      </w:r>
    </w:p>
    <w:p w:rsidR="00F642A8" w:rsidRDefault="00F642A8" w:rsidP="00F642A8">
      <w:pPr>
        <w:jc w:val="center"/>
        <w:rPr>
          <w:sz w:val="32"/>
          <w:szCs w:val="32"/>
        </w:rPr>
      </w:pPr>
    </w:p>
    <w:p w:rsidR="00F642A8" w:rsidRDefault="00F642A8" w:rsidP="00F642A8">
      <w:pPr>
        <w:rPr>
          <w:b/>
          <w:sz w:val="22"/>
          <w:szCs w:val="32"/>
        </w:rPr>
      </w:pPr>
      <w:r w:rsidRPr="00377A7A">
        <w:rPr>
          <w:b/>
          <w:sz w:val="22"/>
          <w:szCs w:val="32"/>
        </w:rPr>
        <w:lastRenderedPageBreak/>
        <w:t>ЭЛЕМЕНТЫ ЛОГИКИ, КОМБИНАТОРИКИ, СТАТИСТИКИ И ТЕОРИИ ВЕРОЯТНОСТЕЙ</w:t>
      </w:r>
    </w:p>
    <w:p w:rsidR="00F642A8" w:rsidRDefault="00F642A8" w:rsidP="00F642A8">
      <w:pPr>
        <w:rPr>
          <w:b/>
          <w:sz w:val="22"/>
          <w:szCs w:val="32"/>
        </w:rPr>
      </w:pPr>
      <w:r>
        <w:rPr>
          <w:b/>
          <w:sz w:val="22"/>
          <w:szCs w:val="32"/>
        </w:rPr>
        <w:t>Уметь:</w:t>
      </w:r>
    </w:p>
    <w:p w:rsidR="00F642A8" w:rsidRPr="00377A7A" w:rsidRDefault="00F642A8" w:rsidP="00F642A8">
      <w:pPr>
        <w:numPr>
          <w:ilvl w:val="0"/>
          <w:numId w:val="6"/>
        </w:numPr>
        <w:rPr>
          <w:sz w:val="22"/>
          <w:szCs w:val="32"/>
        </w:rPr>
      </w:pPr>
      <w:r w:rsidRPr="00377A7A">
        <w:rPr>
          <w:sz w:val="22"/>
          <w:szCs w:val="32"/>
        </w:rPr>
        <w:t>оценивать логическую правильность рассуждений, в своих доказательствах использовать только логически корректные действия, понимать смысл конрпримеров;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извлекать информацию, представленную в таблицах, на диаграммах, на графиках; составлять таблицы; строить диаграммы и графики;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вычислять средние значения результатов измерений; находить частоту события;</w:t>
      </w:r>
    </w:p>
    <w:p w:rsidR="00F642A8" w:rsidRDefault="00F642A8" w:rsidP="00F642A8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 простейших случаях находить вероятности случайных событий, в том числе с использованием комбинаторики.</w:t>
      </w:r>
    </w:p>
    <w:p w:rsidR="00F642A8" w:rsidRDefault="00F642A8" w:rsidP="00F642A8">
      <w:pPr>
        <w:ind w:left="720"/>
        <w:rPr>
          <w:sz w:val="22"/>
          <w:szCs w:val="32"/>
        </w:rPr>
      </w:pPr>
    </w:p>
    <w:p w:rsidR="00F642A8" w:rsidRPr="009D52A0" w:rsidRDefault="00F642A8" w:rsidP="00F642A8">
      <w:pPr>
        <w:ind w:left="720"/>
        <w:rPr>
          <w:b/>
          <w:sz w:val="22"/>
          <w:szCs w:val="32"/>
        </w:rPr>
      </w:pPr>
      <w:r w:rsidRPr="009D52A0">
        <w:rPr>
          <w:b/>
          <w:sz w:val="22"/>
          <w:szCs w:val="32"/>
        </w:rPr>
        <w:t>Применять полученные знания: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записи математических утверждений, доказательств, решении задач;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в анализе числовых данных, представленных в виде диаграмм, графиков;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решении учебных и практических задач, осуществляя систематический перебор вариантов;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сравнении шансов наступления случайных событий;</w:t>
      </w:r>
    </w:p>
    <w:p w:rsidR="00F642A8" w:rsidRDefault="00F642A8" w:rsidP="00F642A8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для оценки вероятности случайного события в практических ситуациях, сопоставления модели с реальной ситуацией.</w:t>
      </w:r>
    </w:p>
    <w:p w:rsidR="00F642A8" w:rsidRDefault="00F642A8" w:rsidP="00F642A8">
      <w:pPr>
        <w:rPr>
          <w:sz w:val="22"/>
          <w:szCs w:val="32"/>
        </w:rPr>
      </w:pPr>
    </w:p>
    <w:p w:rsidR="00F642A8" w:rsidRDefault="00F642A8" w:rsidP="00F642A8">
      <w:pPr>
        <w:rPr>
          <w:sz w:val="22"/>
          <w:szCs w:val="32"/>
        </w:rPr>
      </w:pPr>
    </w:p>
    <w:p w:rsidR="00F642A8" w:rsidRDefault="00F642A8" w:rsidP="00F642A8">
      <w:pPr>
        <w:rPr>
          <w:sz w:val="22"/>
          <w:szCs w:val="32"/>
        </w:rPr>
      </w:pPr>
    </w:p>
    <w:p w:rsidR="00F642A8" w:rsidRDefault="00F642A8" w:rsidP="00F642A8">
      <w:pPr>
        <w:jc w:val="center"/>
        <w:rPr>
          <w:b/>
        </w:rPr>
      </w:pPr>
      <w:r w:rsidRPr="00167471">
        <w:rPr>
          <w:b/>
        </w:rPr>
        <w:t>СОДЕРЖАНИЕ ТЕМ УЧЕБНОГО КУРСА</w:t>
      </w:r>
    </w:p>
    <w:p w:rsidR="001A7070" w:rsidRPr="00167471" w:rsidRDefault="001A7070" w:rsidP="001A7070">
      <w:pPr>
        <w:jc w:val="center"/>
        <w:rPr>
          <w:b/>
          <w:u w:val="single"/>
        </w:rPr>
      </w:pPr>
      <w:r w:rsidRPr="00167471">
        <w:rPr>
          <w:b/>
          <w:u w:val="single"/>
        </w:rPr>
        <w:t xml:space="preserve">Алгебра </w:t>
      </w:r>
      <w:r>
        <w:rPr>
          <w:b/>
          <w:u w:val="single"/>
        </w:rPr>
        <w:t>9</w:t>
      </w:r>
      <w:r w:rsidRPr="00167471">
        <w:rPr>
          <w:b/>
          <w:u w:val="single"/>
        </w:rPr>
        <w:t xml:space="preserve"> класс</w:t>
      </w:r>
    </w:p>
    <w:p w:rsidR="001A7070" w:rsidRDefault="001A7070" w:rsidP="001A7070">
      <w:pPr>
        <w:pStyle w:val="21"/>
        <w:widowControl w:val="0"/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 Свойства функций. Квадратичная функция  (22 ч) </w:t>
      </w:r>
    </w:p>
    <w:p w:rsidR="001A7070" w:rsidRPr="00CD56A1" w:rsidRDefault="001A7070" w:rsidP="001A7070">
      <w:pPr>
        <w:pStyle w:val="21"/>
        <w:widowControl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CD56A1">
        <w:rPr>
          <w:i/>
          <w:lang w:val="en-US"/>
        </w:rPr>
        <w:t>y</w:t>
      </w:r>
      <w:r w:rsidRPr="00CD56A1">
        <w:rPr>
          <w:i/>
        </w:rPr>
        <w:t>=</w:t>
      </w:r>
      <w:r w:rsidRPr="00CD56A1">
        <w:rPr>
          <w:i/>
          <w:lang w:val="en-US"/>
        </w:rPr>
        <w:t>ax</w:t>
      </w:r>
      <w:r w:rsidRPr="00CD56A1">
        <w:rPr>
          <w:i/>
          <w:vertAlign w:val="superscript"/>
        </w:rPr>
        <w:t xml:space="preserve">2 </w:t>
      </w:r>
      <w:r w:rsidRPr="00CD56A1">
        <w:rPr>
          <w:i/>
        </w:rPr>
        <w:t xml:space="preserve"> + </w:t>
      </w:r>
      <w:r w:rsidRPr="00CD56A1">
        <w:rPr>
          <w:i/>
          <w:lang w:val="en-US"/>
        </w:rPr>
        <w:t>bx</w:t>
      </w:r>
      <w:r w:rsidRPr="00CD56A1">
        <w:rPr>
          <w:i/>
        </w:rPr>
        <w:t xml:space="preserve"> + с</w:t>
      </w:r>
      <w:r>
        <w:t>, её свойства, график. Степенная функция.</w:t>
      </w:r>
    </w:p>
    <w:p w:rsidR="001A7070" w:rsidRDefault="001A7070" w:rsidP="001A7070">
      <w:pPr>
        <w:jc w:val="both"/>
        <w:rPr>
          <w:color w:val="000000"/>
        </w:rPr>
      </w:pPr>
      <w:r>
        <w:rPr>
          <w:b/>
          <w:bCs/>
          <w:color w:val="000000"/>
        </w:rPr>
        <w:t> Цель –</w:t>
      </w:r>
      <w:r w:rsidRPr="00911E37">
        <w:rPr>
          <w:bCs/>
          <w:color w:val="000000"/>
        </w:rPr>
        <w:t>расширить сведения о свойствах функций, ознакомить учащихся со свойствами и графиком квадратичной функции</w:t>
      </w:r>
      <w:r>
        <w:rPr>
          <w:color w:val="000000"/>
        </w:rPr>
        <w:t>.</w:t>
      </w:r>
    </w:p>
    <w:p w:rsidR="001A7070" w:rsidRPr="00911E37" w:rsidRDefault="001A7070" w:rsidP="001A7070">
      <w:pPr>
        <w:jc w:val="both"/>
        <w:rPr>
          <w:color w:val="000000"/>
        </w:rPr>
      </w:pPr>
      <w:r>
        <w:rPr>
          <w:b/>
          <w:color w:val="000000"/>
        </w:rPr>
        <w:t xml:space="preserve">2. Уравнения и неравенства с одной переменной  (14 ч) </w:t>
      </w:r>
    </w:p>
    <w:p w:rsidR="001A7070" w:rsidRPr="00CD56A1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Целые уравнения. Дробные рациональные уравнения. Неравенства второй степени с одной переменной. Метод интервалов.</w:t>
      </w:r>
    </w:p>
    <w:p w:rsidR="001A7070" w:rsidRPr="00911E37" w:rsidRDefault="001A7070" w:rsidP="001A7070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 w:rsidRPr="00911E37">
        <w:rPr>
          <w:bCs/>
          <w:color w:val="000000"/>
        </w:rPr>
        <w:t xml:space="preserve">систематизировать и обобщить сведения о решении целых  и дробных рациональных уравнений  с одной переменной, сформировать умение решать неравенства вида </w:t>
      </w:r>
      <w:r>
        <w:rPr>
          <w:bCs/>
          <w:color w:val="000000"/>
        </w:rPr>
        <w:t xml:space="preserve"> или   , где .</w:t>
      </w:r>
    </w:p>
    <w:p w:rsidR="001A7070" w:rsidRDefault="001A7070" w:rsidP="001A7070">
      <w:pPr>
        <w:pStyle w:val="21"/>
        <w:widowControl w:val="0"/>
        <w:spacing w:after="0" w:line="240" w:lineRule="auto"/>
        <w:ind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3.  Уравнения и неравенства с двумя переменными  (17 ч) </w:t>
      </w:r>
    </w:p>
    <w:p w:rsidR="001A7070" w:rsidRPr="00911E37" w:rsidRDefault="001A7070" w:rsidP="001A7070">
      <w:pPr>
        <w:pStyle w:val="21"/>
        <w:widowControl w:val="0"/>
        <w:spacing w:after="0" w:line="240" w:lineRule="auto"/>
        <w:ind w:firstLine="708"/>
        <w:jc w:val="both"/>
        <w:rPr>
          <w:color w:val="000000"/>
        </w:rPr>
      </w:pPr>
      <w:r>
        <w:rPr>
          <w:color w:val="000000"/>
        </w:rPr>
        <w:t>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</w:p>
    <w:p w:rsidR="001A7070" w:rsidRPr="00911E37" w:rsidRDefault="001A7070" w:rsidP="001A7070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bCs/>
          <w:color w:val="000000"/>
        </w:rPr>
        <w:t>выработать умение решать простейшие системы, содержащие уравнения второй степени с двум переменными, и текстовые задачи с помощью составления таких систем.</w:t>
      </w:r>
    </w:p>
    <w:p w:rsidR="001A7070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 xml:space="preserve">4. Прогрессии  (15 ч) </w:t>
      </w:r>
    </w:p>
    <w:p w:rsidR="001A7070" w:rsidRPr="00450C85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Арифметическая и геометрическая прогрессии. Формулы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-го члена и суммы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первых членов прогрессии. Бесконечно убывающая геометрическая прогрессия.</w:t>
      </w:r>
    </w:p>
    <w:p w:rsidR="001A7070" w:rsidRDefault="001A7070" w:rsidP="001A7070">
      <w:pPr>
        <w:ind w:firstLine="720"/>
      </w:pPr>
      <w:r>
        <w:rPr>
          <w:b/>
          <w:bCs/>
          <w:color w:val="000000"/>
        </w:rPr>
        <w:t xml:space="preserve"> Цель – </w:t>
      </w:r>
      <w:r>
        <w:rPr>
          <w:bCs/>
          <w:color w:val="000000"/>
        </w:rPr>
        <w:t>дать понятие об арифметической и геометрической прогрессиях как числовых последовательностях особого вида.</w:t>
      </w:r>
      <w:r w:rsidRPr="00EC2D34">
        <w:rPr>
          <w:color w:val="000000"/>
        </w:rPr>
        <w:t xml:space="preserve">  </w:t>
      </w:r>
    </w:p>
    <w:p w:rsidR="001A7070" w:rsidRPr="003B34FD" w:rsidRDefault="001A7070" w:rsidP="001A707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5. Элементы комбинаторики и теории вероятностей (13</w:t>
      </w:r>
      <w:r w:rsidRPr="003B34FD">
        <w:rPr>
          <w:b/>
        </w:rPr>
        <w:t xml:space="preserve"> ч)</w:t>
      </w:r>
    </w:p>
    <w:p w:rsidR="001A7070" w:rsidRDefault="001A7070" w:rsidP="001A7070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  <w:szCs w:val="18"/>
        </w:rPr>
      </w:pPr>
      <w:r>
        <w:rPr>
          <w:color w:val="000000"/>
          <w:szCs w:val="18"/>
        </w:rPr>
        <w:t>Комбинаторное правило умножения. Перестановки, размещения, сочетания. Относительная частота и вероятность случайного события.</w:t>
      </w:r>
    </w:p>
    <w:p w:rsidR="001A7070" w:rsidRPr="00694CA4" w:rsidRDefault="001A7070" w:rsidP="001A7070">
      <w:pPr>
        <w:shd w:val="clear" w:color="auto" w:fill="FFFFFF"/>
        <w:autoSpaceDE w:val="0"/>
        <w:autoSpaceDN w:val="0"/>
        <w:adjustRightInd w:val="0"/>
        <w:ind w:firstLine="720"/>
        <w:rPr>
          <w:color w:val="000000"/>
          <w:szCs w:val="18"/>
        </w:rPr>
      </w:pPr>
      <w:r>
        <w:rPr>
          <w:b/>
          <w:bCs/>
          <w:color w:val="000000"/>
        </w:rPr>
        <w:lastRenderedPageBreak/>
        <w:t xml:space="preserve">Цель – </w:t>
      </w:r>
      <w:r>
        <w:rPr>
          <w:bCs/>
          <w:color w:val="000000"/>
        </w:rPr>
        <w:t>ознакомить учащихся с понятиями перестановки, размещения, сочетания и соответствующими формулами для подсчёта их числа; ввести понятия относительной частоты и вероятности случайного события.</w:t>
      </w:r>
    </w:p>
    <w:p w:rsidR="001A7070" w:rsidRPr="00167471" w:rsidRDefault="001A7070" w:rsidP="001A7070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6. Повторение. Решение задач  (21 ч)</w:t>
      </w:r>
    </w:p>
    <w:p w:rsidR="001A7070" w:rsidRDefault="001A7070" w:rsidP="001A7070">
      <w:r w:rsidRPr="005104E1">
        <w:t xml:space="preserve">Закрепление знаний, умений и навыков, полученных на уроках по данным темам (курс алгебры </w:t>
      </w:r>
      <w:r>
        <w:t>9</w:t>
      </w:r>
      <w:r w:rsidRPr="005104E1">
        <w:t xml:space="preserve"> класса).</w:t>
      </w:r>
      <w:r>
        <w:t xml:space="preserve"> Подготовка к ГИА.</w:t>
      </w:r>
    </w:p>
    <w:p w:rsidR="00100B05" w:rsidRDefault="00100B05"/>
    <w:p w:rsidR="0011526E" w:rsidRDefault="0011526E" w:rsidP="0011526E">
      <w:pPr>
        <w:jc w:val="both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11526E" w:rsidRPr="00C16F72" w:rsidRDefault="0011526E" w:rsidP="0011526E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11526E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9 класс. – М.: «Интеллект – Центр», 2009 – 144 с.</w:t>
      </w:r>
    </w:p>
    <w:p w:rsidR="0011526E" w:rsidRPr="00C16F72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9 класса. М.: Просвещение, 2008.</w:t>
      </w:r>
    </w:p>
    <w:p w:rsidR="0011526E" w:rsidRDefault="0011526E" w:rsidP="0011526E">
      <w:pPr>
        <w:jc w:val="both"/>
        <w:rPr>
          <w:b/>
          <w:bCs/>
          <w:sz w:val="32"/>
          <w:szCs w:val="32"/>
        </w:rPr>
      </w:pPr>
    </w:p>
    <w:p w:rsidR="0011526E" w:rsidRDefault="0011526E" w:rsidP="0011526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11526E" w:rsidRPr="00A862BB" w:rsidRDefault="0011526E" w:rsidP="0011526E">
      <w:pPr>
        <w:numPr>
          <w:ilvl w:val="0"/>
          <w:numId w:val="9"/>
        </w:numPr>
        <w:jc w:val="both"/>
        <w:rPr>
          <w:bCs/>
          <w:szCs w:val="32"/>
        </w:rPr>
      </w:pPr>
      <w:r>
        <w:t>Алгебра: учебник для 9</w:t>
      </w:r>
      <w:r w:rsidRPr="00A862BB">
        <w:t xml:space="preserve"> кл. общеобразоват. учреждений.  Макарычев Ю.Н., Миндюк Н.Г., Нешков К.И., Суворова С.Б. - М.: Просвещение, 2008.  </w:t>
      </w:r>
    </w:p>
    <w:p w:rsidR="0011526E" w:rsidRDefault="0011526E" w:rsidP="0011526E">
      <w:pPr>
        <w:numPr>
          <w:ilvl w:val="0"/>
          <w:numId w:val="9"/>
        </w:numPr>
        <w:jc w:val="both"/>
        <w:rPr>
          <w:bCs/>
          <w:szCs w:val="32"/>
        </w:rPr>
      </w:pPr>
      <w:r>
        <w:t xml:space="preserve">Программы общеобразовательных учреждений. Алгебра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11526E" w:rsidRPr="00A862BB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9 класс. – М.: «Интеллект – Центр», 2009 – 144 с.</w:t>
      </w:r>
      <w:r w:rsidRPr="00A862BB">
        <w:t xml:space="preserve"> </w:t>
      </w:r>
    </w:p>
    <w:p w:rsidR="0011526E" w:rsidRDefault="0011526E" w:rsidP="0011526E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9 класса. М.: Просвещение, 2008.</w:t>
      </w:r>
    </w:p>
    <w:p w:rsidR="0011526E" w:rsidRDefault="00CA0121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Кузнецова Л.В., Суворова С.Б. и др. Алгебра: сборник заданий для подготовки к итоговой аттестации в 9 классе. М.: Просвещение, 2009.</w:t>
      </w:r>
    </w:p>
    <w:p w:rsidR="00CA0121" w:rsidRDefault="00CA0121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Едуш О.Е. ЕГЭ по математике: учебно-тренировочные тесты и другой материал для 9 класса. М.: АСТ, 2008.</w:t>
      </w:r>
    </w:p>
    <w:p w:rsidR="00CA0121" w:rsidRPr="00C16F72" w:rsidRDefault="00CA0121" w:rsidP="0011526E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Лысенко Ф.Ф. Алгебра 9 класс: подготовка к итоговой аттестации. Ростов-на-Дону: Легион, 2007.</w:t>
      </w:r>
    </w:p>
    <w:p w:rsidR="0011526E" w:rsidRDefault="0011526E"/>
    <w:sectPr w:rsidR="0011526E" w:rsidSect="00100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67D" w:rsidRDefault="0097767D" w:rsidP="00F642A8">
      <w:r>
        <w:separator/>
      </w:r>
    </w:p>
  </w:endnote>
  <w:endnote w:type="continuationSeparator" w:id="1">
    <w:p w:rsidR="0097767D" w:rsidRDefault="0097767D" w:rsidP="00F64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751"/>
      <w:docPartObj>
        <w:docPartGallery w:val="Page Numbers (Bottom of Page)"/>
        <w:docPartUnique/>
      </w:docPartObj>
    </w:sdtPr>
    <w:sdtContent>
      <w:p w:rsidR="00595ABD" w:rsidRDefault="00595ABD">
        <w:pPr>
          <w:pStyle w:val="a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95ABD" w:rsidRDefault="00595AB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67D" w:rsidRDefault="0097767D" w:rsidP="00F642A8">
      <w:r>
        <w:separator/>
      </w:r>
    </w:p>
  </w:footnote>
  <w:footnote w:type="continuationSeparator" w:id="1">
    <w:p w:rsidR="0097767D" w:rsidRDefault="0097767D" w:rsidP="00F642A8">
      <w:r>
        <w:continuationSeparator/>
      </w:r>
    </w:p>
  </w:footnote>
  <w:footnote w:id="2">
    <w:p w:rsidR="00F642A8" w:rsidRDefault="00F642A8" w:rsidP="00F642A8">
      <w:pPr>
        <w:pStyle w:val="a4"/>
        <w:spacing w:line="240" w:lineRule="auto"/>
        <w:ind w:left="360" w:hanging="360"/>
      </w:pPr>
      <w:r>
        <w:rPr>
          <w:rStyle w:val="a3"/>
        </w:rPr>
        <w:footnoteRef/>
      </w:r>
      <w:r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ABD" w:rsidRDefault="00595AB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F55A82"/>
    <w:multiLevelType w:val="hybridMultilevel"/>
    <w:tmpl w:val="F1169F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B1971"/>
    <w:multiLevelType w:val="hybridMultilevel"/>
    <w:tmpl w:val="96EA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2A8"/>
    <w:rsid w:val="00100B05"/>
    <w:rsid w:val="0011526E"/>
    <w:rsid w:val="0016022F"/>
    <w:rsid w:val="001A7070"/>
    <w:rsid w:val="0027348D"/>
    <w:rsid w:val="00595ABD"/>
    <w:rsid w:val="006A553C"/>
    <w:rsid w:val="007716A4"/>
    <w:rsid w:val="0097767D"/>
    <w:rsid w:val="00AF71DD"/>
    <w:rsid w:val="00CA0121"/>
    <w:rsid w:val="00F6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42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42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footnote reference"/>
    <w:basedOn w:val="a0"/>
    <w:semiHidden/>
    <w:rsid w:val="00F642A8"/>
    <w:rPr>
      <w:vertAlign w:val="superscript"/>
    </w:rPr>
  </w:style>
  <w:style w:type="paragraph" w:styleId="a4">
    <w:name w:val="footnote text"/>
    <w:basedOn w:val="a"/>
    <w:link w:val="a5"/>
    <w:semiHidden/>
    <w:rsid w:val="00F642A8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F642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F642A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F642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1A70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A7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95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5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5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5A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2010-08-22T11:20:00Z</dcterms:created>
  <dcterms:modified xsi:type="dcterms:W3CDTF">2010-09-02T17:19:00Z</dcterms:modified>
</cp:coreProperties>
</file>